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1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DB6A6E" w:rsidTr="00DB6A6E">
        <w:trPr>
          <w:trHeight w:val="987"/>
        </w:trPr>
        <w:tc>
          <w:tcPr>
            <w:tcW w:w="11160" w:type="dxa"/>
          </w:tcPr>
          <w:p w:rsidR="00DB6A6E" w:rsidRPr="000E6104" w:rsidRDefault="00DB6A6E" w:rsidP="00DB6A6E">
            <w:pPr>
              <w:rPr>
                <w:rFonts w:ascii="Georgia" w:hAnsi="Georgia"/>
                <w:b/>
              </w:rPr>
            </w:pPr>
            <w:r w:rsidRPr="000E6104">
              <w:rPr>
                <w:rFonts w:ascii="Georgia" w:hAnsi="Georgia"/>
                <w:b/>
              </w:rPr>
              <w:t>Der Dekan der Philologisch-Kulturwissenschaftlichen Fakultät,  das Institut für Ostasienwissenschaften –</w:t>
            </w:r>
            <w:r w:rsidR="00F31EF4">
              <w:rPr>
                <w:rFonts w:ascii="Georgia" w:hAnsi="Georgia"/>
                <w:b/>
              </w:rPr>
              <w:t xml:space="preserve"> </w:t>
            </w:r>
            <w:r w:rsidR="000A3EB6">
              <w:rPr>
                <w:rFonts w:ascii="Georgia" w:hAnsi="Georgia"/>
                <w:b/>
              </w:rPr>
              <w:t>Japanologie der Universität Wien</w:t>
            </w:r>
            <w:r w:rsidR="000E5AD7">
              <w:rPr>
                <w:rFonts w:ascii="Georgia" w:hAnsi="Georgia"/>
                <w:b/>
              </w:rPr>
              <w:t xml:space="preserve"> und </w:t>
            </w:r>
            <w:r w:rsidRPr="000E6104">
              <w:rPr>
                <w:rFonts w:ascii="Georgia" w:hAnsi="Georgia"/>
                <w:b/>
              </w:rPr>
              <w:t xml:space="preserve">der Akademische </w:t>
            </w:r>
            <w:r>
              <w:rPr>
                <w:rFonts w:ascii="Georgia" w:hAnsi="Georgia"/>
                <w:b/>
              </w:rPr>
              <w:t>Arbeitskreis Japan</w:t>
            </w:r>
          </w:p>
          <w:p w:rsidR="00DB6A6E" w:rsidRDefault="0064254C" w:rsidP="00B2753A">
            <w:pPr>
              <w:rPr>
                <w:rFonts w:ascii="Georgia" w:hAnsi="Georgia"/>
                <w:b/>
              </w:rPr>
            </w:pPr>
            <w:r>
              <w:rPr>
                <w:rFonts w:ascii="Georgia" w:hAnsi="Georgia"/>
                <w:b/>
                <w:noProof/>
              </w:rPr>
              <w:drawing>
                <wp:anchor distT="0" distB="0" distL="114300" distR="114300" simplePos="0" relativeHeight="251660288" behindDoc="1" locked="0" layoutInCell="1" allowOverlap="1">
                  <wp:simplePos x="0" y="0"/>
                  <wp:positionH relativeFrom="column">
                    <wp:posOffset>-43180</wp:posOffset>
                  </wp:positionH>
                  <wp:positionV relativeFrom="paragraph">
                    <wp:posOffset>-485775</wp:posOffset>
                  </wp:positionV>
                  <wp:extent cx="1856105" cy="509905"/>
                  <wp:effectExtent l="19050" t="0" r="0" b="0"/>
                  <wp:wrapTight wrapText="bothSides">
                    <wp:wrapPolygon edited="0">
                      <wp:start x="-222" y="0"/>
                      <wp:lineTo x="-222" y="20981"/>
                      <wp:lineTo x="21504" y="20981"/>
                      <wp:lineTo x="21504" y="0"/>
                      <wp:lineTo x="-222" y="0"/>
                    </wp:wrapPolygon>
                  </wp:wrapTight>
                  <wp:docPr id="6" name="Grafik 0" descr="logo_farbe_300dpi_7,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_300dpi_7,4cm.jpg"/>
                          <pic:cNvPicPr/>
                        </pic:nvPicPr>
                        <pic:blipFill>
                          <a:blip r:embed="rId7" cstate="print"/>
                          <a:stretch>
                            <a:fillRect/>
                          </a:stretch>
                        </pic:blipFill>
                        <pic:spPr>
                          <a:xfrm>
                            <a:off x="0" y="0"/>
                            <a:ext cx="1856105" cy="509905"/>
                          </a:xfrm>
                          <a:prstGeom prst="rect">
                            <a:avLst/>
                          </a:prstGeom>
                        </pic:spPr>
                      </pic:pic>
                    </a:graphicData>
                  </a:graphic>
                </wp:anchor>
              </w:drawing>
            </w:r>
          </w:p>
        </w:tc>
      </w:tr>
    </w:tbl>
    <w:p w:rsidR="00024137" w:rsidRDefault="00D2240D" w:rsidP="00A307A2">
      <w:pPr>
        <w:jc w:val="center"/>
        <w:rPr>
          <w:rFonts w:ascii="Georgia" w:hAnsi="Georgia"/>
        </w:rPr>
      </w:pPr>
      <w:r w:rsidRPr="00AF70E2">
        <w:rPr>
          <w:rFonts w:ascii="Georgia" w:hAnsi="Georgia"/>
        </w:rPr>
        <w:t xml:space="preserve">laden </w:t>
      </w:r>
      <w:r w:rsidR="008F162A">
        <w:rPr>
          <w:rFonts w:ascii="Georgia" w:hAnsi="Georgia"/>
        </w:rPr>
        <w:t xml:space="preserve">ein </w:t>
      </w:r>
      <w:r w:rsidRPr="00AF70E2">
        <w:rPr>
          <w:rFonts w:ascii="Georgia" w:hAnsi="Georgia"/>
        </w:rPr>
        <w:t>zu einem</w:t>
      </w:r>
    </w:p>
    <w:p w:rsidR="00A307A2" w:rsidRPr="00A307A2" w:rsidRDefault="00A307A2" w:rsidP="00A307A2">
      <w:pPr>
        <w:jc w:val="center"/>
        <w:rPr>
          <w:rFonts w:ascii="Georgia" w:hAnsi="Georgia"/>
        </w:rPr>
      </w:pPr>
    </w:p>
    <w:p w:rsidR="001F689F" w:rsidRPr="00A307A2" w:rsidRDefault="00F52648" w:rsidP="00A307A2">
      <w:pPr>
        <w:pStyle w:val="berschrift1"/>
        <w:spacing w:line="276" w:lineRule="auto"/>
        <w:rPr>
          <w:rFonts w:ascii="Georgia" w:hAnsi="Georgia"/>
          <w:b/>
          <w:sz w:val="72"/>
          <w:szCs w:val="72"/>
          <w:lang w:val="de-AT"/>
        </w:rPr>
      </w:pPr>
      <w:r w:rsidRPr="00863C11">
        <w:rPr>
          <w:rFonts w:ascii="Georgia" w:hAnsi="Georgia"/>
          <w:b/>
          <w:color w:val="365F91" w:themeColor="accent1" w:themeShade="BF"/>
          <w:sz w:val="72"/>
          <w:szCs w:val="72"/>
          <w:lang w:val="de-AT"/>
        </w:rPr>
        <w:t>VORTRAG</w:t>
      </w:r>
    </w:p>
    <w:p w:rsidR="007A6CDF" w:rsidRPr="000F3DBC" w:rsidRDefault="009B177E" w:rsidP="001472EB">
      <w:pPr>
        <w:spacing w:line="276" w:lineRule="auto"/>
        <w:jc w:val="center"/>
        <w:rPr>
          <w:rFonts w:ascii="Georgia" w:hAnsi="Georgia"/>
          <w:b/>
          <w:sz w:val="40"/>
          <w:szCs w:val="40"/>
          <w:lang w:val="en-US"/>
        </w:rPr>
      </w:pPr>
      <w:r w:rsidRPr="00115A21">
        <w:rPr>
          <w:rFonts w:ascii="Georgia" w:hAnsi="Georgia"/>
          <w:b/>
          <w:sz w:val="40"/>
          <w:szCs w:val="40"/>
        </w:rPr>
        <w:t xml:space="preserve">Donnerstag, </w:t>
      </w:r>
      <w:r w:rsidR="007A0369" w:rsidRPr="00115A21">
        <w:rPr>
          <w:rFonts w:ascii="Georgia" w:hAnsi="Georgia"/>
          <w:b/>
          <w:sz w:val="40"/>
          <w:szCs w:val="40"/>
        </w:rPr>
        <w:t xml:space="preserve">12. </w:t>
      </w:r>
      <w:r w:rsidR="007A0369">
        <w:rPr>
          <w:rFonts w:ascii="Georgia" w:hAnsi="Georgia"/>
          <w:b/>
          <w:sz w:val="40"/>
          <w:szCs w:val="40"/>
          <w:lang w:val="en-US"/>
        </w:rPr>
        <w:t>November</w:t>
      </w:r>
      <w:r w:rsidRPr="000F3DBC">
        <w:rPr>
          <w:rFonts w:ascii="Georgia" w:hAnsi="Georgia"/>
          <w:b/>
          <w:sz w:val="40"/>
          <w:szCs w:val="40"/>
          <w:lang w:val="en-US"/>
        </w:rPr>
        <w:t xml:space="preserve"> 2015,</w:t>
      </w:r>
      <w:r w:rsidR="00B118E1" w:rsidRPr="000F3DBC">
        <w:rPr>
          <w:rFonts w:ascii="Georgia" w:hAnsi="Georgia"/>
          <w:b/>
          <w:sz w:val="40"/>
          <w:szCs w:val="40"/>
          <w:lang w:val="en-US"/>
        </w:rPr>
        <w:t xml:space="preserve"> 18:3</w:t>
      </w:r>
      <w:r w:rsidR="00CF12E8" w:rsidRPr="000F3DBC">
        <w:rPr>
          <w:rFonts w:ascii="Georgia" w:hAnsi="Georgia"/>
          <w:b/>
          <w:sz w:val="40"/>
          <w:szCs w:val="40"/>
          <w:lang w:val="en-US"/>
        </w:rPr>
        <w:t>0</w:t>
      </w:r>
    </w:p>
    <w:p w:rsidR="00055EBB" w:rsidRPr="000F3DBC" w:rsidRDefault="00055EBB" w:rsidP="00B604BD">
      <w:pPr>
        <w:jc w:val="center"/>
        <w:rPr>
          <w:rFonts w:ascii="Georgia" w:hAnsi="Georgia"/>
          <w:b/>
          <w:sz w:val="22"/>
          <w:szCs w:val="22"/>
          <w:lang w:val="en-US"/>
        </w:rPr>
      </w:pPr>
    </w:p>
    <w:p w:rsidR="000647DE" w:rsidRPr="000647DE" w:rsidRDefault="000647DE" w:rsidP="000647DE">
      <w:pPr>
        <w:jc w:val="center"/>
        <w:rPr>
          <w:rFonts w:ascii="Georgia" w:hAnsi="Georgia"/>
          <w:b/>
          <w:sz w:val="40"/>
          <w:szCs w:val="40"/>
          <w:lang w:val="en-US"/>
        </w:rPr>
      </w:pPr>
      <w:r w:rsidRPr="000647DE">
        <w:rPr>
          <w:rFonts w:ascii="Georgia" w:hAnsi="Georgia"/>
          <w:b/>
          <w:sz w:val="40"/>
          <w:szCs w:val="40"/>
          <w:lang w:val="en-US"/>
        </w:rPr>
        <w:t>Robert Hellyer</w:t>
      </w:r>
    </w:p>
    <w:p w:rsidR="00F353F8" w:rsidRPr="000F3DBC" w:rsidRDefault="000647DE" w:rsidP="000647DE">
      <w:pPr>
        <w:jc w:val="center"/>
        <w:rPr>
          <w:rFonts w:ascii="Georgia" w:hAnsi="Georgia"/>
          <w:b/>
          <w:sz w:val="32"/>
          <w:szCs w:val="32"/>
          <w:lang w:val="en-US"/>
        </w:rPr>
      </w:pPr>
      <w:r>
        <w:rPr>
          <w:rFonts w:ascii="Georgia" w:hAnsi="Georgia"/>
          <w:b/>
          <w:sz w:val="40"/>
          <w:szCs w:val="40"/>
          <w:lang w:val="en-US"/>
        </w:rPr>
        <w:t>(</w:t>
      </w:r>
      <w:r w:rsidRPr="000647DE">
        <w:rPr>
          <w:rFonts w:ascii="Georgia" w:hAnsi="Georgia"/>
          <w:b/>
          <w:i/>
          <w:sz w:val="40"/>
          <w:szCs w:val="40"/>
          <w:lang w:val="en-US"/>
        </w:rPr>
        <w:t>Wake Forest University</w:t>
      </w:r>
      <w:r>
        <w:rPr>
          <w:rFonts w:ascii="Georgia" w:hAnsi="Georgia"/>
          <w:b/>
          <w:sz w:val="40"/>
          <w:szCs w:val="40"/>
          <w:lang w:val="en-US"/>
        </w:rPr>
        <w:t>)</w:t>
      </w:r>
    </w:p>
    <w:p w:rsidR="00B86A4A" w:rsidRPr="000F3DBC" w:rsidRDefault="00B86A4A" w:rsidP="00055EBB">
      <w:pPr>
        <w:spacing w:after="200"/>
        <w:jc w:val="center"/>
        <w:rPr>
          <w:rFonts w:ascii="Georgia" w:hAnsi="Georgia"/>
          <w:b/>
          <w:sz w:val="16"/>
          <w:szCs w:val="16"/>
          <w:lang w:val="en-US"/>
        </w:rPr>
      </w:pPr>
    </w:p>
    <w:p w:rsidR="007A0369" w:rsidRDefault="000647DE" w:rsidP="00863C11">
      <w:pPr>
        <w:jc w:val="center"/>
        <w:rPr>
          <w:rFonts w:ascii="Georgia" w:eastAsia="Times New Roman" w:hAnsi="Georgia"/>
          <w:b/>
          <w:sz w:val="40"/>
          <w:szCs w:val="40"/>
          <w:lang w:val="en-US"/>
        </w:rPr>
      </w:pPr>
      <w:r w:rsidRPr="00863C11">
        <w:rPr>
          <w:rFonts w:ascii="Georgia" w:eastAsia="Times New Roman" w:hAnsi="Georgia"/>
          <w:b/>
          <w:color w:val="365F91" w:themeColor="accent1" w:themeShade="BF"/>
          <w:sz w:val="40"/>
          <w:szCs w:val="40"/>
          <w:lang w:val="en-US"/>
        </w:rPr>
        <w:t xml:space="preserve">From Green to Black: </w:t>
      </w:r>
      <w:r w:rsidR="001F689F" w:rsidRPr="00863C11">
        <w:rPr>
          <w:rFonts w:ascii="Georgia" w:eastAsia="Times New Roman" w:hAnsi="Georgia"/>
          <w:b/>
          <w:color w:val="365F91" w:themeColor="accent1" w:themeShade="BF"/>
          <w:sz w:val="40"/>
          <w:szCs w:val="40"/>
          <w:lang w:val="en-US"/>
        </w:rPr>
        <w:br/>
      </w:r>
      <w:r w:rsidRPr="00863C11">
        <w:rPr>
          <w:rFonts w:ascii="Georgia" w:eastAsia="Times New Roman" w:hAnsi="Georgia"/>
          <w:b/>
          <w:color w:val="365F91" w:themeColor="accent1" w:themeShade="BF"/>
          <w:sz w:val="40"/>
          <w:szCs w:val="40"/>
          <w:lang w:val="en-US"/>
        </w:rPr>
        <w:t xml:space="preserve">How Black Tea Conquered Britain and the United States &amp; </w:t>
      </w:r>
      <w:r w:rsidRPr="00863C11">
        <w:rPr>
          <w:rFonts w:ascii="Georgia" w:eastAsia="Times New Roman" w:hAnsi="Georgia"/>
          <w:b/>
          <w:i/>
          <w:color w:val="365F91" w:themeColor="accent1" w:themeShade="BF"/>
          <w:sz w:val="40"/>
          <w:szCs w:val="40"/>
          <w:lang w:val="en-US"/>
        </w:rPr>
        <w:t>Sencha</w:t>
      </w:r>
      <w:r w:rsidRPr="00863C11">
        <w:rPr>
          <w:rFonts w:ascii="Georgia" w:eastAsia="Times New Roman" w:hAnsi="Georgia"/>
          <w:b/>
          <w:color w:val="365F91" w:themeColor="accent1" w:themeShade="BF"/>
          <w:sz w:val="40"/>
          <w:szCs w:val="40"/>
          <w:lang w:val="en-US"/>
        </w:rPr>
        <w:t xml:space="preserve"> Japan</w:t>
      </w:r>
      <w:r w:rsidR="000F3DBC" w:rsidRPr="000F3DBC">
        <w:rPr>
          <w:rFonts w:ascii="Georgia" w:eastAsia="Times New Roman" w:hAnsi="Georgia"/>
          <w:b/>
          <w:sz w:val="40"/>
          <w:szCs w:val="40"/>
          <w:lang w:val="en-US"/>
        </w:rPr>
        <w:t xml:space="preserve"> </w:t>
      </w:r>
    </w:p>
    <w:p w:rsidR="00165847" w:rsidRPr="00165847" w:rsidRDefault="00165847" w:rsidP="00165847">
      <w:pPr>
        <w:jc w:val="center"/>
        <w:rPr>
          <w:rFonts w:ascii="Georgia" w:eastAsia="Times New Roman" w:hAnsi="Georgia"/>
          <w:sz w:val="32"/>
          <w:szCs w:val="32"/>
          <w:lang w:val="en-US"/>
        </w:rPr>
      </w:pPr>
      <w:r>
        <w:rPr>
          <w:rFonts w:ascii="Georgia" w:eastAsia="Times New Roman" w:hAnsi="Georgia"/>
          <w:noProof/>
        </w:rPr>
        <w:drawing>
          <wp:anchor distT="0" distB="0" distL="114300" distR="114300" simplePos="0" relativeHeight="251661312" behindDoc="1" locked="0" layoutInCell="1" allowOverlap="1" wp14:anchorId="2B4CA431" wp14:editId="3643A413">
            <wp:simplePos x="0" y="0"/>
            <wp:positionH relativeFrom="column">
              <wp:posOffset>-26035</wp:posOffset>
            </wp:positionH>
            <wp:positionV relativeFrom="paragraph">
              <wp:posOffset>342900</wp:posOffset>
            </wp:positionV>
            <wp:extent cx="3049270" cy="1596390"/>
            <wp:effectExtent l="0" t="0" r="0" b="3810"/>
            <wp:wrapTight wrapText="bothSides">
              <wp:wrapPolygon edited="0">
                <wp:start x="0" y="0"/>
                <wp:lineTo x="0" y="21394"/>
                <wp:lineTo x="21456" y="21394"/>
                <wp:lineTo x="214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hallyen.jpg"/>
                    <pic:cNvPicPr/>
                  </pic:nvPicPr>
                  <pic:blipFill>
                    <a:blip r:embed="rId8">
                      <a:extLst>
                        <a:ext uri="{28A0092B-C50C-407E-A947-70E740481C1C}">
                          <a14:useLocalDpi xmlns:a14="http://schemas.microsoft.com/office/drawing/2010/main" val="0"/>
                        </a:ext>
                      </a:extLst>
                    </a:blip>
                    <a:stretch>
                      <a:fillRect/>
                    </a:stretch>
                  </pic:blipFill>
                  <pic:spPr>
                    <a:xfrm>
                      <a:off x="0" y="0"/>
                      <a:ext cx="3049270" cy="1596390"/>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noProof/>
        </w:rPr>
        <w:drawing>
          <wp:anchor distT="0" distB="0" distL="114300" distR="114300" simplePos="0" relativeHeight="251663360" behindDoc="1" locked="0" layoutInCell="1" allowOverlap="1" wp14:anchorId="4DCC46E5" wp14:editId="30C8991B">
            <wp:simplePos x="0" y="0"/>
            <wp:positionH relativeFrom="column">
              <wp:posOffset>3075838</wp:posOffset>
            </wp:positionH>
            <wp:positionV relativeFrom="paragraph">
              <wp:posOffset>342900</wp:posOffset>
            </wp:positionV>
            <wp:extent cx="3066415" cy="1596390"/>
            <wp:effectExtent l="0" t="0" r="635" b="3810"/>
            <wp:wrapTight wrapText="bothSides">
              <wp:wrapPolygon edited="0">
                <wp:start x="0" y="0"/>
                <wp:lineTo x="0" y="21394"/>
                <wp:lineTo x="21470" y="21394"/>
                <wp:lineTo x="2147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hallyen.jpg"/>
                    <pic:cNvPicPr/>
                  </pic:nvPicPr>
                  <pic:blipFill>
                    <a:blip r:embed="rId9">
                      <a:extLst>
                        <a:ext uri="{28A0092B-C50C-407E-A947-70E740481C1C}">
                          <a14:useLocalDpi xmlns:a14="http://schemas.microsoft.com/office/drawing/2010/main" val="0"/>
                        </a:ext>
                      </a:extLst>
                    </a:blip>
                    <a:stretch>
                      <a:fillRect/>
                    </a:stretch>
                  </pic:blipFill>
                  <pic:spPr>
                    <a:xfrm>
                      <a:off x="0" y="0"/>
                      <a:ext cx="3066415" cy="1596390"/>
                    </a:xfrm>
                    <a:prstGeom prst="rect">
                      <a:avLst/>
                    </a:prstGeom>
                  </pic:spPr>
                </pic:pic>
              </a:graphicData>
            </a:graphic>
            <wp14:sizeRelH relativeFrom="margin">
              <wp14:pctWidth>0</wp14:pctWidth>
            </wp14:sizeRelH>
            <wp14:sizeRelV relativeFrom="margin">
              <wp14:pctHeight>0</wp14:pctHeight>
            </wp14:sizeRelV>
          </wp:anchor>
        </w:drawing>
      </w:r>
    </w:p>
    <w:p w:rsidR="00165847" w:rsidRDefault="00165847" w:rsidP="00B118E1">
      <w:pPr>
        <w:jc w:val="both"/>
        <w:rPr>
          <w:rFonts w:ascii="Georgia" w:eastAsia="Times New Roman" w:hAnsi="Georgia"/>
          <w:noProof/>
          <w:lang w:val="en-US"/>
        </w:rPr>
      </w:pPr>
    </w:p>
    <w:p w:rsidR="009B177E" w:rsidRDefault="000647DE" w:rsidP="00B118E1">
      <w:pPr>
        <w:jc w:val="both"/>
        <w:rPr>
          <w:rFonts w:ascii="Georgia" w:eastAsia="Times New Roman" w:hAnsi="Georgia"/>
          <w:noProof/>
          <w:lang w:val="en-US"/>
        </w:rPr>
      </w:pPr>
      <w:r w:rsidRPr="000647DE">
        <w:rPr>
          <w:rFonts w:ascii="Georgia" w:eastAsia="Times New Roman" w:hAnsi="Georgia"/>
          <w:noProof/>
          <w:lang w:val="en-US"/>
        </w:rPr>
        <w:t xml:space="preserve">The presentation will explain how marketing, as well as national/imperial trade agendas and racial stereotypes, helped shape tea consumption patterns in </w:t>
      </w:r>
      <w:r w:rsidR="00115A21">
        <w:rPr>
          <w:rFonts w:ascii="Georgia" w:eastAsia="Times New Roman" w:hAnsi="Georgia"/>
          <w:noProof/>
          <w:lang w:val="en-US"/>
        </w:rPr>
        <w:t>Britain, the United States and Japan</w:t>
      </w:r>
      <w:r w:rsidRPr="000647DE">
        <w:rPr>
          <w:rFonts w:ascii="Georgia" w:eastAsia="Times New Roman" w:hAnsi="Georgia"/>
          <w:noProof/>
          <w:lang w:val="en-US"/>
        </w:rPr>
        <w:t xml:space="preserve"> since the mid-nineteenth century. It will show how rising concerns about the “dangers” of Chinese green tea spurred British consumption of black teas, while an influx of inexpensive Japanese greens bolstered US green tea consumption from the 1870s.  Beginning in the 1890s, British firms mounted a marketing campaign, again stressing the “dangers” of green tea, which in a few decades helped India and Ceylon black teas come to dominate the US market.  Facing a glut because of shrinki</w:t>
      </w:r>
      <w:bookmarkStart w:id="0" w:name="_GoBack"/>
      <w:bookmarkEnd w:id="0"/>
      <w:r w:rsidRPr="000647DE">
        <w:rPr>
          <w:rFonts w:ascii="Georgia" w:eastAsia="Times New Roman" w:hAnsi="Georgia"/>
          <w:noProof/>
          <w:lang w:val="en-US"/>
        </w:rPr>
        <w:t xml:space="preserve">ng US demand, Japanese producers shifted attention to domestic and imperial markets, promoting the sale of previously exported </w:t>
      </w:r>
      <w:r w:rsidRPr="000647DE">
        <w:rPr>
          <w:rFonts w:ascii="Georgia" w:eastAsia="Times New Roman" w:hAnsi="Georgia"/>
          <w:i/>
          <w:noProof/>
          <w:lang w:val="en-US"/>
        </w:rPr>
        <w:t>sencha</w:t>
      </w:r>
      <w:r w:rsidRPr="000647DE">
        <w:rPr>
          <w:rFonts w:ascii="Georgia" w:eastAsia="Times New Roman" w:hAnsi="Georgia"/>
          <w:noProof/>
          <w:lang w:val="en-US"/>
        </w:rPr>
        <w:t xml:space="preserve"> green tea, especially for its purported high content of Vitamin C.</w:t>
      </w:r>
    </w:p>
    <w:p w:rsidR="00863C11" w:rsidRPr="00863C11" w:rsidRDefault="00863C11" w:rsidP="00863C11">
      <w:pPr>
        <w:jc w:val="both"/>
        <w:rPr>
          <w:rFonts w:ascii="Georgia" w:eastAsia="Times New Roman" w:hAnsi="Georgia"/>
          <w:b/>
          <w:noProof/>
          <w:sz w:val="20"/>
          <w:szCs w:val="20"/>
          <w:lang w:val="en-US"/>
        </w:rPr>
      </w:pPr>
    </w:p>
    <w:p w:rsidR="00863C11" w:rsidRPr="00863C11" w:rsidRDefault="00863C11" w:rsidP="00863C11">
      <w:pPr>
        <w:jc w:val="both"/>
        <w:rPr>
          <w:rFonts w:ascii="Georgia" w:eastAsia="Times New Roman" w:hAnsi="Georgia"/>
          <w:noProof/>
          <w:sz w:val="20"/>
          <w:szCs w:val="20"/>
          <w:lang w:val="en-US"/>
        </w:rPr>
      </w:pPr>
      <w:r w:rsidRPr="00863C11">
        <w:rPr>
          <w:rFonts w:ascii="Georgia" w:eastAsia="Times New Roman" w:hAnsi="Georgia"/>
          <w:b/>
          <w:noProof/>
          <w:sz w:val="20"/>
          <w:szCs w:val="20"/>
          <w:lang w:val="en-US"/>
        </w:rPr>
        <w:t>Robert Hellyer</w:t>
      </w:r>
      <w:r>
        <w:rPr>
          <w:rFonts w:ascii="Georgia" w:eastAsia="Times New Roman" w:hAnsi="Georgia"/>
          <w:noProof/>
          <w:sz w:val="20"/>
          <w:szCs w:val="20"/>
          <w:lang w:val="en-US"/>
        </w:rPr>
        <w:t xml:space="preserve"> is Associate Professor of History at </w:t>
      </w:r>
      <w:r w:rsidRPr="00863C11">
        <w:rPr>
          <w:rFonts w:ascii="Georgia" w:eastAsia="Times New Roman" w:hAnsi="Georgia"/>
          <w:noProof/>
          <w:sz w:val="20"/>
          <w:szCs w:val="20"/>
          <w:lang w:val="en-US"/>
        </w:rPr>
        <w:t>Wake Forest University (USA)</w:t>
      </w:r>
      <w:r w:rsidR="00115A21">
        <w:rPr>
          <w:rFonts w:ascii="Georgia" w:eastAsia="Times New Roman" w:hAnsi="Georgia"/>
          <w:noProof/>
          <w:sz w:val="20"/>
          <w:szCs w:val="20"/>
          <w:lang w:val="en-US"/>
        </w:rPr>
        <w:t xml:space="preserve">. </w:t>
      </w:r>
      <w:r w:rsidRPr="00863C11">
        <w:rPr>
          <w:rFonts w:ascii="Georgia" w:eastAsia="Times New Roman" w:hAnsi="Georgia"/>
          <w:noProof/>
          <w:sz w:val="20"/>
          <w:szCs w:val="20"/>
          <w:lang w:val="en-US"/>
        </w:rPr>
        <w:t>A historian of early modern and modern Japan, Robert Hellyer served on the faculty of the University of Toky</w:t>
      </w:r>
      <w:r w:rsidR="00165847">
        <w:rPr>
          <w:rFonts w:ascii="Georgia" w:eastAsia="Times New Roman" w:hAnsi="Georgia"/>
          <w:noProof/>
          <w:sz w:val="20"/>
          <w:szCs w:val="20"/>
          <w:lang w:val="en-US"/>
        </w:rPr>
        <w:t xml:space="preserve">o, taught at Allegheny College </w:t>
      </w:r>
      <w:r w:rsidRPr="00863C11">
        <w:rPr>
          <w:rFonts w:ascii="Georgia" w:eastAsia="Times New Roman" w:hAnsi="Georgia"/>
          <w:noProof/>
          <w:sz w:val="20"/>
          <w:szCs w:val="20"/>
          <w:lang w:val="en-US"/>
        </w:rPr>
        <w:t xml:space="preserve">and was a postdoctoral fellow at the Reischauer Institute of Japanese Studies at Harvard before coming to Wake Forest in 2005.  </w:t>
      </w:r>
      <w:r w:rsidR="00165847">
        <w:rPr>
          <w:rFonts w:ascii="Georgia" w:eastAsia="Times New Roman" w:hAnsi="Georgia"/>
          <w:noProof/>
          <w:sz w:val="20"/>
          <w:szCs w:val="20"/>
          <w:lang w:val="en-US"/>
        </w:rPr>
        <w:t>His research includes</w:t>
      </w:r>
      <w:r w:rsidRPr="00863C11">
        <w:rPr>
          <w:rFonts w:ascii="Georgia" w:eastAsia="Times New Roman" w:hAnsi="Georgia"/>
          <w:noProof/>
          <w:sz w:val="20"/>
          <w:szCs w:val="20"/>
          <w:lang w:val="en-US"/>
        </w:rPr>
        <w:t xml:space="preserve"> Edo period foreign relations</w:t>
      </w:r>
      <w:r w:rsidR="00165847">
        <w:rPr>
          <w:rFonts w:ascii="Georgia" w:eastAsia="Times New Roman" w:hAnsi="Georgia"/>
          <w:noProof/>
          <w:sz w:val="20"/>
          <w:szCs w:val="20"/>
          <w:lang w:val="en-US"/>
        </w:rPr>
        <w:t xml:space="preserve"> (</w:t>
      </w:r>
      <w:r w:rsidRPr="00863C11">
        <w:rPr>
          <w:rFonts w:ascii="Georgia" w:eastAsia="Times New Roman" w:hAnsi="Georgia"/>
          <w:i/>
          <w:noProof/>
          <w:sz w:val="20"/>
          <w:szCs w:val="20"/>
          <w:lang w:val="en-US"/>
        </w:rPr>
        <w:t>Defining Engagement: Japan and Global Contexts, 1640-1868</w:t>
      </w:r>
      <w:r w:rsidR="00165847">
        <w:rPr>
          <w:rFonts w:ascii="Georgia" w:eastAsia="Times New Roman" w:hAnsi="Georgia"/>
          <w:i/>
          <w:noProof/>
          <w:sz w:val="20"/>
          <w:szCs w:val="20"/>
          <w:lang w:val="en-US"/>
        </w:rPr>
        <w:t>,</w:t>
      </w:r>
      <w:r w:rsidR="00165847">
        <w:rPr>
          <w:rFonts w:ascii="Georgia" w:eastAsia="Times New Roman" w:hAnsi="Georgia"/>
          <w:noProof/>
          <w:sz w:val="20"/>
          <w:szCs w:val="20"/>
          <w:lang w:val="en-US"/>
        </w:rPr>
        <w:t xml:space="preserve"> </w:t>
      </w:r>
      <w:r w:rsidRPr="00863C11">
        <w:rPr>
          <w:rFonts w:ascii="Georgia" w:eastAsia="Times New Roman" w:hAnsi="Georgia"/>
          <w:noProof/>
          <w:sz w:val="20"/>
          <w:szCs w:val="20"/>
          <w:lang w:val="en-US"/>
        </w:rPr>
        <w:t>Harvar</w:t>
      </w:r>
      <w:r w:rsidR="00165847">
        <w:rPr>
          <w:rFonts w:ascii="Georgia" w:eastAsia="Times New Roman" w:hAnsi="Georgia"/>
          <w:noProof/>
          <w:sz w:val="20"/>
          <w:szCs w:val="20"/>
          <w:lang w:val="en-US"/>
        </w:rPr>
        <w:t xml:space="preserve">d University Asia Center, 2009), </w:t>
      </w:r>
      <w:r w:rsidRPr="00863C11">
        <w:rPr>
          <w:rFonts w:ascii="Georgia" w:eastAsia="Times New Roman" w:hAnsi="Georgia"/>
          <w:noProof/>
          <w:sz w:val="20"/>
          <w:szCs w:val="20"/>
          <w:lang w:val="en-US"/>
        </w:rPr>
        <w:t>socio-economic integratio</w:t>
      </w:r>
      <w:r w:rsidR="00165847">
        <w:rPr>
          <w:rFonts w:ascii="Georgia" w:eastAsia="Times New Roman" w:hAnsi="Georgia"/>
          <w:noProof/>
          <w:sz w:val="20"/>
          <w:szCs w:val="20"/>
          <w:lang w:val="en-US"/>
        </w:rPr>
        <w:t>n of the Pacific Ocean in the 18</w:t>
      </w:r>
      <w:r w:rsidR="00165847" w:rsidRPr="00165847">
        <w:rPr>
          <w:rFonts w:ascii="Georgia" w:eastAsia="Times New Roman" w:hAnsi="Georgia"/>
          <w:noProof/>
          <w:sz w:val="20"/>
          <w:szCs w:val="20"/>
          <w:vertAlign w:val="superscript"/>
          <w:lang w:val="en-US"/>
        </w:rPr>
        <w:t>th</w:t>
      </w:r>
      <w:r w:rsidR="00165847">
        <w:rPr>
          <w:rFonts w:ascii="Georgia" w:eastAsia="Times New Roman" w:hAnsi="Georgia"/>
          <w:noProof/>
          <w:sz w:val="20"/>
          <w:szCs w:val="20"/>
          <w:lang w:val="en-US"/>
        </w:rPr>
        <w:t xml:space="preserve">  and 19</w:t>
      </w:r>
      <w:r w:rsidR="00165847" w:rsidRPr="00165847">
        <w:rPr>
          <w:rFonts w:ascii="Georgia" w:eastAsia="Times New Roman" w:hAnsi="Georgia"/>
          <w:noProof/>
          <w:sz w:val="20"/>
          <w:szCs w:val="20"/>
          <w:vertAlign w:val="superscript"/>
          <w:lang w:val="en-US"/>
        </w:rPr>
        <w:t>th</w:t>
      </w:r>
      <w:r w:rsidR="00165847">
        <w:rPr>
          <w:rFonts w:ascii="Georgia" w:eastAsia="Times New Roman" w:hAnsi="Georgia"/>
          <w:noProof/>
          <w:sz w:val="20"/>
          <w:szCs w:val="20"/>
          <w:lang w:val="en-US"/>
        </w:rPr>
        <w:t xml:space="preserve">  centuries and</w:t>
      </w:r>
      <w:r w:rsidRPr="00863C11">
        <w:rPr>
          <w:rFonts w:ascii="Georgia" w:eastAsia="Times New Roman" w:hAnsi="Georgia"/>
          <w:noProof/>
          <w:sz w:val="20"/>
          <w:szCs w:val="20"/>
          <w:lang w:val="en-US"/>
        </w:rPr>
        <w:t xml:space="preserve"> </w:t>
      </w:r>
      <w:r w:rsidR="00165847">
        <w:rPr>
          <w:rFonts w:ascii="Georgia" w:eastAsia="Times New Roman" w:hAnsi="Georgia"/>
          <w:noProof/>
          <w:sz w:val="20"/>
          <w:szCs w:val="20"/>
          <w:lang w:val="en-US"/>
        </w:rPr>
        <w:t xml:space="preserve">Japan’s Meiji Restoration. For his current project on the </w:t>
      </w:r>
      <w:r w:rsidRPr="00863C11">
        <w:rPr>
          <w:rFonts w:ascii="Georgia" w:eastAsia="Times New Roman" w:hAnsi="Georgia"/>
          <w:noProof/>
          <w:sz w:val="20"/>
          <w:szCs w:val="20"/>
          <w:lang w:val="en-US"/>
        </w:rPr>
        <w:t>international history of Japan’s export of green tea to the United States from circa 1850 to 1950</w:t>
      </w:r>
      <w:r w:rsidR="00165847">
        <w:rPr>
          <w:rFonts w:ascii="Georgia" w:eastAsia="Times New Roman" w:hAnsi="Georgia"/>
          <w:noProof/>
          <w:sz w:val="20"/>
          <w:szCs w:val="20"/>
          <w:lang w:val="en-US"/>
        </w:rPr>
        <w:t xml:space="preserve"> </w:t>
      </w:r>
      <w:r w:rsidRPr="00863C11">
        <w:rPr>
          <w:rFonts w:ascii="Georgia" w:eastAsia="Times New Roman" w:hAnsi="Georgia"/>
          <w:noProof/>
          <w:sz w:val="20"/>
          <w:szCs w:val="20"/>
          <w:lang w:val="en-US"/>
        </w:rPr>
        <w:t>he received Smithsonian, Japan Foundation, and National Endowment for the Humanities f</w:t>
      </w:r>
      <w:r w:rsidR="00165847">
        <w:rPr>
          <w:rFonts w:ascii="Georgia" w:eastAsia="Times New Roman" w:hAnsi="Georgia"/>
          <w:noProof/>
          <w:sz w:val="20"/>
          <w:szCs w:val="20"/>
          <w:lang w:val="en-US"/>
        </w:rPr>
        <w:t xml:space="preserve">ellowships. </w:t>
      </w:r>
      <w:r w:rsidRPr="00863C11">
        <w:rPr>
          <w:rFonts w:ascii="Georgia" w:eastAsia="Times New Roman" w:hAnsi="Georgia"/>
          <w:noProof/>
          <w:sz w:val="20"/>
          <w:szCs w:val="20"/>
          <w:lang w:val="en-US"/>
        </w:rPr>
        <w:t>In the fall semester 2015, he is serving as resident professor at Wake Forest’s Flow House in Vienna.</w:t>
      </w:r>
    </w:p>
    <w:p w:rsidR="000F3DBC" w:rsidRPr="0058199E" w:rsidRDefault="000F3DBC" w:rsidP="00CC13DA">
      <w:pPr>
        <w:rPr>
          <w:rFonts w:ascii="Georgia" w:hAnsi="Georgia" w:cs="Arial"/>
          <w:b/>
          <w:color w:val="000000"/>
          <w:sz w:val="28"/>
          <w:szCs w:val="28"/>
          <w:lang w:val="en-US"/>
        </w:rPr>
      </w:pPr>
    </w:p>
    <w:p w:rsidR="00BC35E3" w:rsidRPr="00BC35E3" w:rsidRDefault="00296DBF" w:rsidP="00CC13DA">
      <w:pPr>
        <w:rPr>
          <w:rFonts w:ascii="Georgia" w:hAnsi="Georgia"/>
          <w:color w:val="000000"/>
          <w:lang w:val="de-DE"/>
        </w:rPr>
      </w:pPr>
      <w:r w:rsidRPr="00D21B29">
        <w:rPr>
          <w:rFonts w:ascii="Georgia" w:hAnsi="Georgia" w:cs="Arial"/>
          <w:b/>
          <w:color w:val="000000"/>
          <w:sz w:val="28"/>
          <w:szCs w:val="28"/>
          <w:lang w:val="de-DE"/>
        </w:rPr>
        <w:t xml:space="preserve">Institut für Ostasienwissenschaften – Japanologie, </w:t>
      </w:r>
      <w:r w:rsidR="00E20810">
        <w:rPr>
          <w:rFonts w:ascii="Georgia" w:hAnsi="Georgia" w:cs="Arial"/>
          <w:b/>
          <w:color w:val="000000"/>
          <w:sz w:val="28"/>
          <w:szCs w:val="28"/>
          <w:lang w:val="de-DE"/>
        </w:rPr>
        <w:t>Seminarraum 1</w:t>
      </w:r>
    </w:p>
    <w:sectPr w:rsidR="00BC35E3" w:rsidRPr="00BC35E3" w:rsidSect="0002413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D8" w:rsidRDefault="000214D8" w:rsidP="00126485">
      <w:r>
        <w:separator/>
      </w:r>
    </w:p>
  </w:endnote>
  <w:endnote w:type="continuationSeparator" w:id="0">
    <w:p w:rsidR="000214D8" w:rsidRDefault="000214D8" w:rsidP="001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D8" w:rsidRDefault="000214D8" w:rsidP="00126485">
      <w:r>
        <w:separator/>
      </w:r>
    </w:p>
  </w:footnote>
  <w:footnote w:type="continuationSeparator" w:id="0">
    <w:p w:rsidR="000214D8" w:rsidRDefault="000214D8" w:rsidP="0012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23"/>
    <w:rsid w:val="000214D8"/>
    <w:rsid w:val="00024137"/>
    <w:rsid w:val="00026668"/>
    <w:rsid w:val="00051995"/>
    <w:rsid w:val="00055EBB"/>
    <w:rsid w:val="000647DE"/>
    <w:rsid w:val="00073B79"/>
    <w:rsid w:val="00094BD7"/>
    <w:rsid w:val="000A3EB6"/>
    <w:rsid w:val="000E5AD7"/>
    <w:rsid w:val="000E6104"/>
    <w:rsid w:val="000F3DBC"/>
    <w:rsid w:val="00115A21"/>
    <w:rsid w:val="00126485"/>
    <w:rsid w:val="001472EB"/>
    <w:rsid w:val="00165847"/>
    <w:rsid w:val="001A67B9"/>
    <w:rsid w:val="001F689F"/>
    <w:rsid w:val="00202FAE"/>
    <w:rsid w:val="0021108B"/>
    <w:rsid w:val="00212080"/>
    <w:rsid w:val="00253345"/>
    <w:rsid w:val="0027281B"/>
    <w:rsid w:val="00296DBF"/>
    <w:rsid w:val="002A27DB"/>
    <w:rsid w:val="002D2D66"/>
    <w:rsid w:val="003172EA"/>
    <w:rsid w:val="003470DB"/>
    <w:rsid w:val="00353250"/>
    <w:rsid w:val="00373297"/>
    <w:rsid w:val="00396541"/>
    <w:rsid w:val="003B5438"/>
    <w:rsid w:val="003E2744"/>
    <w:rsid w:val="0044799E"/>
    <w:rsid w:val="004757A9"/>
    <w:rsid w:val="00485391"/>
    <w:rsid w:val="004D5697"/>
    <w:rsid w:val="00502AFB"/>
    <w:rsid w:val="00507177"/>
    <w:rsid w:val="00546935"/>
    <w:rsid w:val="00561C36"/>
    <w:rsid w:val="0058199E"/>
    <w:rsid w:val="00587FE0"/>
    <w:rsid w:val="00596A7E"/>
    <w:rsid w:val="005B011C"/>
    <w:rsid w:val="005B1C23"/>
    <w:rsid w:val="005E092C"/>
    <w:rsid w:val="005E40AA"/>
    <w:rsid w:val="006200DB"/>
    <w:rsid w:val="00623141"/>
    <w:rsid w:val="0064254C"/>
    <w:rsid w:val="006460C9"/>
    <w:rsid w:val="006753E9"/>
    <w:rsid w:val="00681FB5"/>
    <w:rsid w:val="00692DDE"/>
    <w:rsid w:val="006C3756"/>
    <w:rsid w:val="007000E9"/>
    <w:rsid w:val="0072438C"/>
    <w:rsid w:val="00743D23"/>
    <w:rsid w:val="007A0369"/>
    <w:rsid w:val="007A6CDF"/>
    <w:rsid w:val="007C03AB"/>
    <w:rsid w:val="007E2139"/>
    <w:rsid w:val="007E2A8F"/>
    <w:rsid w:val="00816C71"/>
    <w:rsid w:val="008340B0"/>
    <w:rsid w:val="00835AE6"/>
    <w:rsid w:val="00863C11"/>
    <w:rsid w:val="008B23CC"/>
    <w:rsid w:val="008C08B9"/>
    <w:rsid w:val="008F162A"/>
    <w:rsid w:val="008F3C9E"/>
    <w:rsid w:val="008F719E"/>
    <w:rsid w:val="00970523"/>
    <w:rsid w:val="00985202"/>
    <w:rsid w:val="00993AAB"/>
    <w:rsid w:val="009A2952"/>
    <w:rsid w:val="009B177E"/>
    <w:rsid w:val="009C03DE"/>
    <w:rsid w:val="00A307A2"/>
    <w:rsid w:val="00A45838"/>
    <w:rsid w:val="00AF4C51"/>
    <w:rsid w:val="00B118E1"/>
    <w:rsid w:val="00B130FF"/>
    <w:rsid w:val="00B2753A"/>
    <w:rsid w:val="00B604BD"/>
    <w:rsid w:val="00B81D82"/>
    <w:rsid w:val="00B86A4A"/>
    <w:rsid w:val="00B96A6D"/>
    <w:rsid w:val="00BB173B"/>
    <w:rsid w:val="00BC12D9"/>
    <w:rsid w:val="00BC35E3"/>
    <w:rsid w:val="00C373B4"/>
    <w:rsid w:val="00C4051E"/>
    <w:rsid w:val="00C458A5"/>
    <w:rsid w:val="00C50835"/>
    <w:rsid w:val="00C541FF"/>
    <w:rsid w:val="00C815ED"/>
    <w:rsid w:val="00CC13DA"/>
    <w:rsid w:val="00CF12E8"/>
    <w:rsid w:val="00CF37AD"/>
    <w:rsid w:val="00D21470"/>
    <w:rsid w:val="00D2240D"/>
    <w:rsid w:val="00D36007"/>
    <w:rsid w:val="00D777C1"/>
    <w:rsid w:val="00DB6A6E"/>
    <w:rsid w:val="00DD48D6"/>
    <w:rsid w:val="00E17B5A"/>
    <w:rsid w:val="00E20810"/>
    <w:rsid w:val="00E429D2"/>
    <w:rsid w:val="00E92180"/>
    <w:rsid w:val="00EA3DF2"/>
    <w:rsid w:val="00EB4D25"/>
    <w:rsid w:val="00EE4267"/>
    <w:rsid w:val="00EE4EEE"/>
    <w:rsid w:val="00F31EF4"/>
    <w:rsid w:val="00F353F8"/>
    <w:rsid w:val="00F52648"/>
    <w:rsid w:val="00F61012"/>
    <w:rsid w:val="00FA28D9"/>
    <w:rsid w:val="00FA3DE4"/>
    <w:rsid w:val="00FA79E8"/>
    <w:rsid w:val="00FC1B2E"/>
    <w:rsid w:val="00FE5138"/>
    <w:rsid w:val="00FF7E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1656201-0E9E-408F-9AA5-D5C6D975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AT" w:eastAsia="ja-JP"/>
    </w:rPr>
  </w:style>
  <w:style w:type="paragraph" w:styleId="berschrift1">
    <w:name w:val="heading 1"/>
    <w:basedOn w:val="Standard"/>
    <w:next w:val="Standard"/>
    <w:link w:val="berschrift1Zchn"/>
    <w:qFormat/>
    <w:rsid w:val="00F52648"/>
    <w:pPr>
      <w:keepNext/>
      <w:suppressLineNumbers/>
      <w:jc w:val="center"/>
      <w:outlineLvl w:val="0"/>
    </w:pPr>
    <w:rPr>
      <w:rFonts w:ascii="Geneva" w:eastAsia="Times New Roman" w:hAnsi="Geneva"/>
      <w:sz w:val="40"/>
      <w:szCs w:val="20"/>
      <w:lang w:val="en-GB"/>
    </w:rPr>
  </w:style>
  <w:style w:type="paragraph" w:styleId="berschrift3">
    <w:name w:val="heading 3"/>
    <w:basedOn w:val="Standard"/>
    <w:next w:val="Standard"/>
    <w:link w:val="berschrift3Zchn"/>
    <w:unhideWhenUsed/>
    <w:qFormat/>
    <w:rsid w:val="00F52648"/>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2648"/>
    <w:rPr>
      <w:rFonts w:ascii="Geneva" w:eastAsia="Times New Roman" w:hAnsi="Geneva"/>
      <w:sz w:val="40"/>
      <w:lang w:val="en-GB" w:eastAsia="ja-JP"/>
    </w:rPr>
  </w:style>
  <w:style w:type="character" w:customStyle="1" w:styleId="berschrift3Zchn">
    <w:name w:val="Überschrift 3 Zchn"/>
    <w:basedOn w:val="Absatz-Standardschriftart"/>
    <w:link w:val="berschrift3"/>
    <w:rsid w:val="00F52648"/>
    <w:rPr>
      <w:rFonts w:asciiTheme="majorHAnsi" w:eastAsiaTheme="majorEastAsia" w:hAnsiTheme="majorHAnsi" w:cstheme="majorBidi"/>
      <w:b/>
      <w:bCs/>
      <w:sz w:val="26"/>
      <w:szCs w:val="26"/>
      <w:lang w:val="de-AT" w:eastAsia="ja-JP"/>
    </w:rPr>
  </w:style>
  <w:style w:type="paragraph" w:styleId="Sprechblasentext">
    <w:name w:val="Balloon Text"/>
    <w:basedOn w:val="Standard"/>
    <w:link w:val="SprechblasentextZchn"/>
    <w:rsid w:val="00A45838"/>
    <w:rPr>
      <w:rFonts w:ascii="Tahoma" w:hAnsi="Tahoma" w:cs="Tahoma"/>
      <w:sz w:val="16"/>
      <w:szCs w:val="16"/>
    </w:rPr>
  </w:style>
  <w:style w:type="character" w:customStyle="1" w:styleId="SprechblasentextZchn">
    <w:name w:val="Sprechblasentext Zchn"/>
    <w:basedOn w:val="Absatz-Standardschriftart"/>
    <w:link w:val="Sprechblasentext"/>
    <w:rsid w:val="00A45838"/>
    <w:rPr>
      <w:rFonts w:ascii="Tahoma" w:hAnsi="Tahoma" w:cs="Tahoma"/>
      <w:sz w:val="16"/>
      <w:szCs w:val="16"/>
      <w:lang w:val="de-AT" w:eastAsia="ja-JP"/>
    </w:rPr>
  </w:style>
  <w:style w:type="paragraph" w:styleId="Kopfzeile">
    <w:name w:val="header"/>
    <w:basedOn w:val="Standard"/>
    <w:link w:val="KopfzeileZchn"/>
    <w:rsid w:val="00126485"/>
    <w:pPr>
      <w:tabs>
        <w:tab w:val="center" w:pos="4536"/>
        <w:tab w:val="right" w:pos="9072"/>
      </w:tabs>
    </w:pPr>
  </w:style>
  <w:style w:type="character" w:customStyle="1" w:styleId="KopfzeileZchn">
    <w:name w:val="Kopfzeile Zchn"/>
    <w:basedOn w:val="Absatz-Standardschriftart"/>
    <w:link w:val="Kopfzeile"/>
    <w:rsid w:val="00126485"/>
    <w:rPr>
      <w:sz w:val="24"/>
      <w:szCs w:val="24"/>
      <w:lang w:val="de-AT" w:eastAsia="ja-JP"/>
    </w:rPr>
  </w:style>
  <w:style w:type="paragraph" w:styleId="Fuzeile">
    <w:name w:val="footer"/>
    <w:basedOn w:val="Standard"/>
    <w:link w:val="FuzeileZchn"/>
    <w:rsid w:val="00126485"/>
    <w:pPr>
      <w:tabs>
        <w:tab w:val="center" w:pos="4536"/>
        <w:tab w:val="right" w:pos="9072"/>
      </w:tabs>
    </w:pPr>
  </w:style>
  <w:style w:type="character" w:customStyle="1" w:styleId="FuzeileZchn">
    <w:name w:val="Fußzeile Zchn"/>
    <w:basedOn w:val="Absatz-Standardschriftart"/>
    <w:link w:val="Fuzeile"/>
    <w:rsid w:val="00126485"/>
    <w:rPr>
      <w:sz w:val="24"/>
      <w:szCs w:val="24"/>
      <w:lang w:val="de-AT" w:eastAsia="ja-JP"/>
    </w:rPr>
  </w:style>
  <w:style w:type="table" w:styleId="Tabellenraster">
    <w:name w:val="Table Grid"/>
    <w:basedOn w:val="NormaleTabelle"/>
    <w:rsid w:val="00DB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bsatz-Standardschriftart"/>
    <w:rsid w:val="009B177E"/>
  </w:style>
  <w:style w:type="character" w:styleId="Hyperlink">
    <w:name w:val="Hyperlink"/>
    <w:basedOn w:val="Absatz-Standardschriftart"/>
    <w:uiPriority w:val="99"/>
    <w:unhideWhenUsed/>
    <w:rsid w:val="009B177E"/>
    <w:rPr>
      <w:color w:val="0000FF"/>
      <w:u w:val="single"/>
    </w:rPr>
  </w:style>
  <w:style w:type="character" w:styleId="BesuchterHyperlink">
    <w:name w:val="FollowedHyperlink"/>
    <w:basedOn w:val="Absatz-Standardschriftart"/>
    <w:rsid w:val="009B1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2992">
      <w:bodyDiv w:val="1"/>
      <w:marLeft w:val="0"/>
      <w:marRight w:val="0"/>
      <w:marTop w:val="0"/>
      <w:marBottom w:val="0"/>
      <w:divBdr>
        <w:top w:val="none" w:sz="0" w:space="0" w:color="auto"/>
        <w:left w:val="none" w:sz="0" w:space="0" w:color="auto"/>
        <w:bottom w:val="none" w:sz="0" w:space="0" w:color="auto"/>
        <w:right w:val="none" w:sz="0" w:space="0" w:color="auto"/>
      </w:divBdr>
    </w:div>
    <w:div w:id="1070153956">
      <w:bodyDiv w:val="1"/>
      <w:marLeft w:val="0"/>
      <w:marRight w:val="0"/>
      <w:marTop w:val="0"/>
      <w:marBottom w:val="0"/>
      <w:divBdr>
        <w:top w:val="none" w:sz="0" w:space="0" w:color="auto"/>
        <w:left w:val="none" w:sz="0" w:space="0" w:color="auto"/>
        <w:bottom w:val="none" w:sz="0" w:space="0" w:color="auto"/>
        <w:right w:val="none" w:sz="0" w:space="0" w:color="auto"/>
      </w:divBdr>
      <w:divsChild>
        <w:div w:id="123427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564169">
      <w:bodyDiv w:val="1"/>
      <w:marLeft w:val="0"/>
      <w:marRight w:val="0"/>
      <w:marTop w:val="0"/>
      <w:marBottom w:val="0"/>
      <w:divBdr>
        <w:top w:val="none" w:sz="0" w:space="0" w:color="auto"/>
        <w:left w:val="none" w:sz="0" w:space="0" w:color="auto"/>
        <w:bottom w:val="none" w:sz="0" w:space="0" w:color="auto"/>
        <w:right w:val="none" w:sz="0" w:space="0" w:color="auto"/>
      </w:divBdr>
      <w:divsChild>
        <w:div w:id="340278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0D71-E01A-41D3-A9A3-1697005D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1933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Zuge des Ostasientages lädt die Japanologie Wien am Montag, 11</vt:lpstr>
      <vt:lpstr>Im Zuge des Ostasientages lädt die Japanologie Wien am Montag, 11</vt:lpstr>
    </vt:vector>
  </TitlesOfParts>
  <Company>Eastasia</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Zuge des Ostasientages lädt die Japanologie Wien am Montag, 11</dc:title>
  <dc:creator>INES</dc:creator>
  <cp:lastModifiedBy>Angela Kramer</cp:lastModifiedBy>
  <cp:revision>4</cp:revision>
  <cp:lastPrinted>2015-10-20T09:29:00Z</cp:lastPrinted>
  <dcterms:created xsi:type="dcterms:W3CDTF">2015-10-19T16:26:00Z</dcterms:created>
  <dcterms:modified xsi:type="dcterms:W3CDTF">2015-10-20T09:42:00Z</dcterms:modified>
</cp:coreProperties>
</file>